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48" w:rsidRPr="00B66E92" w:rsidRDefault="00A20048" w:rsidP="00A20048">
      <w:pPr>
        <w:pStyle w:val="2612"/>
        <w:ind w:left="720"/>
        <w:outlineLvl w:val="0"/>
      </w:pPr>
      <w:bookmarkStart w:id="0" w:name="_Toc57196819"/>
      <w:r w:rsidRPr="005A52DF">
        <w:rPr>
          <w:rFonts w:cs="Calibri"/>
          <w:caps/>
          <w:color w:val="auto"/>
          <w:szCs w:val="28"/>
        </w:rPr>
        <w:t xml:space="preserve">Параметры </w:t>
      </w:r>
      <w:r>
        <w:rPr>
          <w:rFonts w:cs="Calibri"/>
          <w:caps/>
          <w:color w:val="auto"/>
          <w:szCs w:val="28"/>
        </w:rPr>
        <w:t>земель лесного фонда</w:t>
      </w:r>
      <w:bookmarkEnd w:id="0"/>
      <w:r>
        <w:rPr>
          <w:rFonts w:cs="Calibri"/>
          <w:caps/>
          <w:color w:val="auto"/>
          <w:szCs w:val="28"/>
        </w:rPr>
        <w:t xml:space="preserve"> Красноярского сельского поселения</w:t>
      </w:r>
    </w:p>
    <w:p w:rsidR="00A20048" w:rsidRDefault="00A20048" w:rsidP="00A20048">
      <w:pPr>
        <w:pStyle w:val="00"/>
      </w:pPr>
      <w:r>
        <w:t xml:space="preserve">В </w:t>
      </w:r>
      <w:r w:rsidRPr="0090682E">
        <w:t>соответствии с материалами лесоуст</w:t>
      </w:r>
      <w:r>
        <w:t>ройства ФГУП «</w:t>
      </w:r>
      <w:proofErr w:type="spellStart"/>
      <w:r>
        <w:t>Воронежлеспроект</w:t>
      </w:r>
      <w:proofErr w:type="spellEnd"/>
      <w:r>
        <w:t xml:space="preserve">» 2005 года, </w:t>
      </w:r>
      <w:r w:rsidRPr="0090682E">
        <w:t>приказом Департамента лесного хозяйства Ростовской области</w:t>
      </w:r>
      <w:r>
        <w:t xml:space="preserve"> </w:t>
      </w:r>
      <w:r w:rsidRPr="0090682E">
        <w:t>от 27.11.2009 № 278 «О включении</w:t>
      </w:r>
      <w:r>
        <w:t xml:space="preserve"> </w:t>
      </w:r>
      <w:r w:rsidRPr="0090682E">
        <w:t>лесн</w:t>
      </w:r>
      <w:r>
        <w:t xml:space="preserve">ых участков, ранее находившихся </w:t>
      </w:r>
      <w:r w:rsidRPr="0090682E">
        <w:t>во владении сельскохозяй</w:t>
      </w:r>
      <w:r>
        <w:t xml:space="preserve">ственных организаций, в границы </w:t>
      </w:r>
      <w:r w:rsidRPr="0090682E">
        <w:t>лесничеств Ростовской</w:t>
      </w:r>
      <w:r>
        <w:t xml:space="preserve"> </w:t>
      </w:r>
      <w:r w:rsidRPr="0090682E">
        <w:t>области» и сведениями государственног</w:t>
      </w:r>
      <w:r>
        <w:t xml:space="preserve">о лесного реестра на территории </w:t>
      </w:r>
      <w:r w:rsidRPr="0090682E">
        <w:t>Крас</w:t>
      </w:r>
      <w:r>
        <w:t xml:space="preserve">ноярского сельского </w:t>
      </w:r>
      <w:r w:rsidRPr="0090682E">
        <w:t>поселения Цимля</w:t>
      </w:r>
      <w:r>
        <w:t xml:space="preserve">нского района расположены земли </w:t>
      </w:r>
      <w:r w:rsidRPr="0090682E">
        <w:t>лесного фонда Цимлянского участкового лесни</w:t>
      </w:r>
      <w:r>
        <w:t xml:space="preserve">чества Романовского лесничества </w:t>
      </w:r>
      <w:r w:rsidRPr="0090682E">
        <w:t>общей площадью 1091,7184 га, в том числе:</w:t>
      </w:r>
    </w:p>
    <w:p w:rsidR="00A20048" w:rsidRDefault="00A20048" w:rsidP="00A20048">
      <w:pPr>
        <w:pStyle w:val="00"/>
      </w:pPr>
      <w:r>
        <w:t xml:space="preserve">- </w:t>
      </w:r>
      <w:r w:rsidRPr="0090682E">
        <w:t>земли лесного фонда площадью</w:t>
      </w:r>
      <w:r>
        <w:t xml:space="preserve"> 952,7 га – кварталы 12, 23-28, </w:t>
      </w:r>
      <w:r w:rsidRPr="0090682E">
        <w:t>47 (полностью), 13, 14 (частично) Цимл</w:t>
      </w:r>
      <w:r>
        <w:t xml:space="preserve">янского участкового лесничества </w:t>
      </w:r>
      <w:r w:rsidRPr="0090682E">
        <w:t>Романовского лесничества;</w:t>
      </w:r>
    </w:p>
    <w:p w:rsidR="00A20048" w:rsidRDefault="00A20048" w:rsidP="00A20048">
      <w:pPr>
        <w:pStyle w:val="00"/>
      </w:pPr>
      <w:r>
        <w:t xml:space="preserve">- </w:t>
      </w:r>
      <w:r w:rsidRPr="0090682E">
        <w:t>земли лесного фонда – земли,</w:t>
      </w:r>
      <w:r>
        <w:t xml:space="preserve"> ранее находившиеся во владении сельскохозяйственных </w:t>
      </w:r>
      <w:r w:rsidRPr="0090682E">
        <w:t>организаций, площадью 1</w:t>
      </w:r>
      <w:r>
        <w:t xml:space="preserve">39,0184 га (2 земельных участка с кадастровыми номерами: </w:t>
      </w:r>
      <w:r w:rsidRPr="0090682E">
        <w:t xml:space="preserve">61:41:0600011:865 </w:t>
      </w:r>
      <w:r>
        <w:t xml:space="preserve">и 61:41:0600011:866 Цимлянского </w:t>
      </w:r>
      <w:r w:rsidRPr="0090682E">
        <w:t>участкового лесничества Романовского лесничества).</w:t>
      </w:r>
    </w:p>
    <w:p w:rsidR="00A20048" w:rsidRDefault="00A20048" w:rsidP="00A20048">
      <w:pPr>
        <w:pStyle w:val="00"/>
      </w:pPr>
      <w:r>
        <w:t>Выявлены пересечения земель лесного фонда с участками Единого государственного реестра недвижимости.</w:t>
      </w:r>
    </w:p>
    <w:p w:rsidR="00A20048" w:rsidRPr="00B66E92" w:rsidRDefault="00A20048" w:rsidP="00A20048">
      <w:pPr>
        <w:ind w:left="284" w:firstLine="567"/>
        <w:contextualSpacing/>
        <w:jc w:val="right"/>
        <w:rPr>
          <w:b/>
        </w:rPr>
      </w:pPr>
      <w:r>
        <w:rPr>
          <w:b/>
        </w:rPr>
        <w:t>Таблица 5</w:t>
      </w:r>
      <w:r w:rsidRPr="00B66E92">
        <w:rPr>
          <w:b/>
        </w:rPr>
        <w:t>.1.</w:t>
      </w:r>
    </w:p>
    <w:p w:rsidR="00A20048" w:rsidRDefault="00A20048" w:rsidP="00A20048">
      <w:pPr>
        <w:ind w:left="284" w:firstLine="567"/>
        <w:contextualSpacing/>
        <w:jc w:val="center"/>
      </w:pPr>
      <w:r w:rsidRPr="00916681">
        <w:t>Реестр пересечений земельных участков лесного фонда Романовского лесничества с земельными участками с категорией "земли населенных пунктов", расположенными  в границах п. Дубравный Красноярского сельского поселения Цимлянского района</w:t>
      </w:r>
    </w:p>
    <w:p w:rsidR="00A20048" w:rsidRPr="001A053A" w:rsidRDefault="00A20048" w:rsidP="00A20048">
      <w:pPr>
        <w:contextualSpacing/>
      </w:pPr>
    </w:p>
    <w:tbl>
      <w:tblPr>
        <w:tblW w:w="10078" w:type="dxa"/>
        <w:jc w:val="center"/>
        <w:tblLook w:val="04A0"/>
      </w:tblPr>
      <w:tblGrid>
        <w:gridCol w:w="584"/>
        <w:gridCol w:w="1843"/>
        <w:gridCol w:w="1843"/>
        <w:gridCol w:w="2268"/>
        <w:gridCol w:w="1843"/>
        <w:gridCol w:w="1697"/>
      </w:tblGrid>
      <w:tr w:rsidR="00A20048" w:rsidRPr="000173DD" w:rsidTr="003B38B2">
        <w:trPr>
          <w:trHeight w:val="1050"/>
          <w:tblHeader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0173DD">
              <w:rPr>
                <w:rFonts w:cs="Times New Roman"/>
                <w:b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0173DD">
              <w:rPr>
                <w:rFonts w:cs="Times New Roman"/>
                <w:b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0173DD">
              <w:rPr>
                <w:rFonts w:cs="Times New Roman"/>
                <w:b/>
                <w:lang w:eastAsia="ru-RU"/>
              </w:rPr>
              <w:t>Наименование участкового</w:t>
            </w:r>
            <w:r w:rsidRPr="000173DD">
              <w:rPr>
                <w:rFonts w:cs="Times New Roman"/>
                <w:b/>
                <w:lang w:eastAsia="ru-RU"/>
              </w:rPr>
              <w:br/>
              <w:t>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0173DD">
              <w:rPr>
                <w:rFonts w:cs="Times New Roman"/>
                <w:b/>
                <w:lang w:eastAsia="ru-RU"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0173DD">
              <w:rPr>
                <w:rFonts w:cs="Times New Roman"/>
                <w:b/>
                <w:lang w:eastAsia="ru-RU"/>
              </w:rPr>
              <w:t>Категория земель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0173DD">
              <w:rPr>
                <w:rFonts w:cs="Times New Roman"/>
                <w:b/>
                <w:lang w:eastAsia="ru-RU"/>
              </w:rPr>
              <w:t>Площадь пересечений,</w:t>
            </w:r>
            <w:r w:rsidRPr="000173DD">
              <w:rPr>
                <w:rFonts w:cs="Times New Roman"/>
                <w:b/>
                <w:lang w:eastAsia="ru-RU"/>
              </w:rPr>
              <w:br/>
              <w:t>га</w:t>
            </w:r>
          </w:p>
        </w:tc>
      </w:tr>
      <w:tr w:rsidR="00A20048" w:rsidRPr="000173DD" w:rsidTr="003B38B2">
        <w:trPr>
          <w:trHeight w:val="312"/>
          <w:tblHeader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7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0,0009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0,0038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0,0051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0,0062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 xml:space="preserve">Земли населенных </w:t>
            </w:r>
            <w:r w:rsidRPr="000173DD">
              <w:rPr>
                <w:rFonts w:cs="Times New Roman"/>
                <w:lang w:eastAsia="ru-RU"/>
              </w:rPr>
              <w:lastRenderedPageBreak/>
              <w:t>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lastRenderedPageBreak/>
              <w:t>0,0083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0,0091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61:41:0030404:43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0,0103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0,0106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0,0112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0,0142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0,0154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0,0165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0,0188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0,0211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0,0220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 xml:space="preserve">Земли населенных </w:t>
            </w:r>
            <w:r w:rsidRPr="000173DD">
              <w:rPr>
                <w:rFonts w:cs="Times New Roman"/>
                <w:lang w:eastAsia="ru-RU"/>
              </w:rPr>
              <w:lastRenderedPageBreak/>
              <w:t>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lastRenderedPageBreak/>
              <w:t>0,0230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0,0281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0,0302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0,0374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0,0408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0,0499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0,0537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0,0553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0,0579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0,0664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0,0687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 xml:space="preserve">Земли населенных </w:t>
            </w:r>
            <w:r w:rsidRPr="000173DD">
              <w:rPr>
                <w:rFonts w:cs="Times New Roman"/>
                <w:lang w:eastAsia="ru-RU"/>
              </w:rPr>
              <w:lastRenderedPageBreak/>
              <w:t>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lastRenderedPageBreak/>
              <w:t>0,0691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0,0760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0,0815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0,0818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0,0819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0,0874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0,0882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0,0933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0,0933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61:41:0030404:9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0,0972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0,0982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 xml:space="preserve">Земли населенных </w:t>
            </w:r>
            <w:r w:rsidRPr="000173DD">
              <w:rPr>
                <w:rFonts w:cs="Times New Roman"/>
                <w:lang w:eastAsia="ru-RU"/>
              </w:rPr>
              <w:lastRenderedPageBreak/>
              <w:t>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lastRenderedPageBreak/>
              <w:t>0,0984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0,1000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0,1115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61:41:0030404:8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0,1249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61:41:0030404:311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0,1264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61:41:0030404:47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0,1267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0,1320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0,1380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61:41:0030405:9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0,1397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0,1403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0,1414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 xml:space="preserve">Земли населенных </w:t>
            </w:r>
            <w:r w:rsidRPr="000173DD">
              <w:rPr>
                <w:rFonts w:cs="Times New Roman"/>
                <w:lang w:eastAsia="ru-RU"/>
              </w:rPr>
              <w:lastRenderedPageBreak/>
              <w:t>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lastRenderedPageBreak/>
              <w:t>0,1416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61:41:0030404:48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0,1568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0,1597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0,1630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0,2003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0,2674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0,8311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173DD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61:41:0030401:23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0173DD">
              <w:rPr>
                <w:rFonts w:cs="Times New Roman"/>
                <w:lang w:eastAsia="ru-RU"/>
              </w:rPr>
              <w:t>1,0284</w:t>
            </w:r>
          </w:p>
        </w:tc>
      </w:tr>
      <w:tr w:rsidR="00A20048" w:rsidRPr="000173DD" w:rsidTr="003B38B2">
        <w:trPr>
          <w:trHeight w:val="312"/>
          <w:jc w:val="center"/>
        </w:trPr>
        <w:tc>
          <w:tcPr>
            <w:tcW w:w="8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832EDF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832EDF">
              <w:rPr>
                <w:rFonts w:cs="Times New Roman"/>
                <w:b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0173DD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832EDF">
              <w:rPr>
                <w:rFonts w:cs="Times New Roman"/>
                <w:b/>
                <w:bCs/>
                <w:lang w:eastAsia="ru-RU"/>
              </w:rPr>
              <w:t>5,9604</w:t>
            </w:r>
          </w:p>
        </w:tc>
      </w:tr>
    </w:tbl>
    <w:p w:rsidR="00A20048" w:rsidRDefault="00A20048" w:rsidP="00A20048">
      <w:pPr>
        <w:pStyle w:val="00"/>
        <w:ind w:firstLine="0"/>
      </w:pPr>
    </w:p>
    <w:p w:rsidR="00A20048" w:rsidRDefault="00A20048" w:rsidP="00A20048">
      <w:pPr>
        <w:pStyle w:val="00"/>
        <w:rPr>
          <w:rStyle w:val="fontstyle01"/>
          <w:szCs w:val="24"/>
        </w:rPr>
      </w:pPr>
      <w:r>
        <w:t xml:space="preserve">Также </w:t>
      </w:r>
      <w:r w:rsidRPr="0097771B">
        <w:t>в соответствии с материалами лесоустройства и таксационным описанием</w:t>
      </w:r>
      <w:r>
        <w:t xml:space="preserve"> в </w:t>
      </w:r>
      <w:r w:rsidRPr="0097771B">
        <w:t>квартале 14 выделе 19 Романовского лесничества Цимлянского участкового</w:t>
      </w:r>
      <w:r>
        <w:t xml:space="preserve"> лесничества </w:t>
      </w:r>
      <w:r w:rsidRPr="0097771B">
        <w:t>расположен лесной поселок, созданный до 01.01.2007 в целях освоения</w:t>
      </w:r>
      <w:r>
        <w:t xml:space="preserve"> </w:t>
      </w:r>
      <w:r w:rsidRPr="0097771B">
        <w:t>лесов, подлежащий переводу из земель лесного фонда в земли населенных пунктов,</w:t>
      </w:r>
      <w:r>
        <w:t xml:space="preserve"> </w:t>
      </w:r>
      <w:r w:rsidRPr="0097771B">
        <w:t>площадью – 1,5 га.</w:t>
      </w:r>
      <w:r>
        <w:t xml:space="preserve"> </w:t>
      </w:r>
      <w:r>
        <w:rPr>
          <w:rStyle w:val="fontstyle01"/>
          <w:szCs w:val="24"/>
        </w:rPr>
        <w:t>В</w:t>
      </w:r>
      <w:r w:rsidRPr="0097771B">
        <w:rPr>
          <w:rStyle w:val="fontstyle01"/>
          <w:szCs w:val="24"/>
        </w:rPr>
        <w:t xml:space="preserve"> границах лесного поселка в квартале 14 выделе 19,</w:t>
      </w:r>
      <w:r>
        <w:rPr>
          <w:color w:val="000000"/>
          <w:szCs w:val="24"/>
        </w:rPr>
        <w:t xml:space="preserve"> </w:t>
      </w:r>
      <w:r w:rsidRPr="0097771B">
        <w:rPr>
          <w:rStyle w:val="fontstyle01"/>
          <w:szCs w:val="24"/>
        </w:rPr>
        <w:t>подлежащего переводу из земель лесного фонда в земли населенных пунктов,</w:t>
      </w:r>
      <w:r>
        <w:rPr>
          <w:color w:val="000000"/>
          <w:szCs w:val="24"/>
        </w:rPr>
        <w:t xml:space="preserve"> </w:t>
      </w:r>
      <w:r w:rsidRPr="0097771B">
        <w:rPr>
          <w:rStyle w:val="fontstyle01"/>
          <w:szCs w:val="24"/>
        </w:rPr>
        <w:t>имеются пересечения земельных участков лесного фонда с землями населенных</w:t>
      </w:r>
      <w:r>
        <w:rPr>
          <w:color w:val="000000"/>
          <w:szCs w:val="24"/>
        </w:rPr>
        <w:t xml:space="preserve"> </w:t>
      </w:r>
      <w:r w:rsidRPr="0097771B">
        <w:rPr>
          <w:rStyle w:val="fontstyle01"/>
          <w:szCs w:val="24"/>
        </w:rPr>
        <w:t>пунктов, что подтверждается заключением филиала ФГБУ «</w:t>
      </w:r>
      <w:proofErr w:type="spellStart"/>
      <w:r w:rsidRPr="0097771B">
        <w:rPr>
          <w:rStyle w:val="fontstyle01"/>
          <w:szCs w:val="24"/>
        </w:rPr>
        <w:t>Рослесинфорг</w:t>
      </w:r>
      <w:proofErr w:type="spellEnd"/>
      <w:r w:rsidRPr="0097771B">
        <w:rPr>
          <w:rStyle w:val="fontstyle01"/>
          <w:szCs w:val="24"/>
        </w:rPr>
        <w:t>»</w:t>
      </w:r>
      <w:r w:rsidRPr="0097771B">
        <w:rPr>
          <w:color w:val="000000"/>
          <w:szCs w:val="24"/>
        </w:rPr>
        <w:br/>
      </w:r>
      <w:r w:rsidRPr="0097771B">
        <w:rPr>
          <w:rStyle w:val="fontstyle01"/>
          <w:szCs w:val="24"/>
        </w:rPr>
        <w:t>«</w:t>
      </w:r>
      <w:proofErr w:type="spellStart"/>
      <w:r w:rsidRPr="0097771B">
        <w:rPr>
          <w:rStyle w:val="fontstyle01"/>
          <w:szCs w:val="24"/>
        </w:rPr>
        <w:t>Воронежлеспроект</w:t>
      </w:r>
      <w:proofErr w:type="spellEnd"/>
      <w:r w:rsidRPr="0097771B">
        <w:rPr>
          <w:rStyle w:val="fontstyle01"/>
          <w:szCs w:val="24"/>
        </w:rPr>
        <w:t>» от 17.07.2020 № 796. Площадь пересечений составляет</w:t>
      </w:r>
      <w:r>
        <w:rPr>
          <w:color w:val="000000"/>
          <w:szCs w:val="24"/>
        </w:rPr>
        <w:t xml:space="preserve"> </w:t>
      </w:r>
      <w:r w:rsidRPr="0097771B">
        <w:rPr>
          <w:rStyle w:val="fontstyle01"/>
          <w:szCs w:val="24"/>
        </w:rPr>
        <w:t>0,9076 га.</w:t>
      </w:r>
    </w:p>
    <w:p w:rsidR="00A20048" w:rsidRPr="00B66E92" w:rsidRDefault="00A20048" w:rsidP="00A20048">
      <w:pPr>
        <w:ind w:left="284" w:firstLine="567"/>
        <w:contextualSpacing/>
        <w:jc w:val="right"/>
        <w:rPr>
          <w:b/>
        </w:rPr>
      </w:pPr>
      <w:r>
        <w:rPr>
          <w:b/>
        </w:rPr>
        <w:lastRenderedPageBreak/>
        <w:t>Таблица 5.2</w:t>
      </w:r>
      <w:r w:rsidRPr="00B66E92">
        <w:rPr>
          <w:b/>
        </w:rPr>
        <w:t>.</w:t>
      </w:r>
    </w:p>
    <w:p w:rsidR="00A20048" w:rsidRDefault="00A20048" w:rsidP="00A20048">
      <w:pPr>
        <w:ind w:left="284" w:firstLine="567"/>
        <w:contextualSpacing/>
        <w:jc w:val="center"/>
      </w:pPr>
      <w:r w:rsidRPr="004D420C">
        <w:t>Реестр пересечений земельных участков лесного фонда квартала 14 выдела 19 Цимлянского участкового лесничества Романовского лесничества с земельными участками с категорией "земли населенных пунктов", расположенными  в границах Красноярского сельского поселения Цимлянского района (по заключению филиала ФГБУ "</w:t>
      </w:r>
      <w:proofErr w:type="spellStart"/>
      <w:r w:rsidRPr="004D420C">
        <w:t>Рослесинфорг</w:t>
      </w:r>
      <w:proofErr w:type="spellEnd"/>
      <w:r w:rsidRPr="004D420C">
        <w:t>" "</w:t>
      </w:r>
      <w:proofErr w:type="spellStart"/>
      <w:r w:rsidRPr="004D420C">
        <w:t>Воронежлеспроект</w:t>
      </w:r>
      <w:proofErr w:type="spellEnd"/>
      <w:r w:rsidRPr="004D420C">
        <w:t>" от 17.07.2020 № 796)</w:t>
      </w:r>
    </w:p>
    <w:tbl>
      <w:tblPr>
        <w:tblW w:w="10025" w:type="dxa"/>
        <w:tblInd w:w="91" w:type="dxa"/>
        <w:tblLook w:val="04A0"/>
      </w:tblPr>
      <w:tblGrid>
        <w:gridCol w:w="584"/>
        <w:gridCol w:w="1822"/>
        <w:gridCol w:w="1822"/>
        <w:gridCol w:w="2337"/>
        <w:gridCol w:w="1829"/>
        <w:gridCol w:w="1631"/>
      </w:tblGrid>
      <w:tr w:rsidR="00A20048" w:rsidRPr="004D420C" w:rsidTr="003B38B2">
        <w:trPr>
          <w:trHeight w:val="1050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4D420C">
              <w:rPr>
                <w:rFonts w:cs="Times New Roman"/>
                <w:b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4D420C">
              <w:rPr>
                <w:rFonts w:cs="Times New Roman"/>
                <w:b/>
                <w:lang w:eastAsia="ru-RU"/>
              </w:rPr>
              <w:t>Наименование лесничества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4D420C">
              <w:rPr>
                <w:rFonts w:cs="Times New Roman"/>
                <w:b/>
                <w:lang w:eastAsia="ru-RU"/>
              </w:rPr>
              <w:t>Наименование участкового</w:t>
            </w:r>
            <w:r w:rsidRPr="004D420C">
              <w:rPr>
                <w:rFonts w:cs="Times New Roman"/>
                <w:b/>
                <w:lang w:eastAsia="ru-RU"/>
              </w:rPr>
              <w:br/>
              <w:t>лесничества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4D420C">
              <w:rPr>
                <w:rFonts w:cs="Times New Roman"/>
                <w:b/>
                <w:lang w:eastAsia="ru-RU"/>
              </w:rPr>
              <w:t>Кадастровый номер земельного участка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4D420C">
              <w:rPr>
                <w:rFonts w:cs="Times New Roman"/>
                <w:b/>
                <w:lang w:eastAsia="ru-RU"/>
              </w:rPr>
              <w:t>Категория земель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4D420C">
              <w:rPr>
                <w:rFonts w:cs="Times New Roman"/>
                <w:b/>
                <w:lang w:eastAsia="ru-RU"/>
              </w:rPr>
              <w:t>Площадь пересечений,</w:t>
            </w:r>
            <w:r w:rsidRPr="004D420C">
              <w:rPr>
                <w:rFonts w:cs="Times New Roman"/>
                <w:b/>
                <w:lang w:eastAsia="ru-RU"/>
              </w:rPr>
              <w:br/>
              <w:t>га</w:t>
            </w:r>
          </w:p>
        </w:tc>
      </w:tr>
      <w:tr w:rsidR="00A20048" w:rsidRPr="004D420C" w:rsidTr="003B38B2">
        <w:trPr>
          <w:trHeight w:val="312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7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61:41:0030405:10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0,0108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61:41:0030404:12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0,0198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61:41:0030404:63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0,0321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61:41:0030404:16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0,0333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61:41:0030404:256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0,0399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61:41:0030404:15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0,0443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61:41:0030405:41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0,0567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61:41:0030404:13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0,0781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61:41:0030404:14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0,0964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61:41:0030404:57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 xml:space="preserve">Земли населенных </w:t>
            </w:r>
            <w:r w:rsidRPr="004D420C">
              <w:rPr>
                <w:rFonts w:cs="Times New Roman"/>
                <w:lang w:eastAsia="ru-RU"/>
              </w:rPr>
              <w:lastRenderedPageBreak/>
              <w:t>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lastRenderedPageBreak/>
              <w:t>0,1303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61:41:0030404:61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0,1580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61:41:0030405:8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0,1319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61:41:0000000:18137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0,0146</w:t>
            </w:r>
          </w:p>
        </w:tc>
      </w:tr>
      <w:tr w:rsidR="00A20048" w:rsidRPr="004D420C" w:rsidTr="003B38B2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D420C">
              <w:rPr>
                <w:rFonts w:cs="Times New Roman"/>
                <w:color w:val="000000"/>
                <w:lang w:eastAsia="ru-RU"/>
              </w:rPr>
              <w:t>Романовское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Цимлянское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61:41:0000000:19065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Земли населенных пунктов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lang w:eastAsia="ru-RU"/>
              </w:rPr>
            </w:pPr>
            <w:r w:rsidRPr="004D420C">
              <w:rPr>
                <w:rFonts w:cs="Times New Roman"/>
                <w:lang w:eastAsia="ru-RU"/>
              </w:rPr>
              <w:t>0,0614</w:t>
            </w:r>
          </w:p>
        </w:tc>
      </w:tr>
      <w:tr w:rsidR="00A20048" w:rsidRPr="004D420C" w:rsidTr="003B38B2">
        <w:trPr>
          <w:trHeight w:val="312"/>
        </w:trPr>
        <w:tc>
          <w:tcPr>
            <w:tcW w:w="8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rFonts w:cs="Times New Roman"/>
                <w:b/>
                <w:lang w:eastAsia="ru-RU"/>
              </w:rPr>
            </w:pPr>
            <w:r w:rsidRPr="004D420C">
              <w:rPr>
                <w:rFonts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48" w:rsidRPr="004D420C" w:rsidRDefault="00A20048" w:rsidP="003B3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0,9076</w:t>
            </w:r>
          </w:p>
        </w:tc>
      </w:tr>
    </w:tbl>
    <w:p w:rsidR="00A20048" w:rsidRDefault="00A20048" w:rsidP="009D71CD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</w:p>
    <w:p w:rsidR="009D71CD" w:rsidRPr="009D71CD" w:rsidRDefault="009D71CD" w:rsidP="009D71CD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9D71CD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Сохранение и вос</w:t>
      </w:r>
      <w:r w:rsidR="00185A70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с</w:t>
      </w:r>
      <w:r w:rsidRPr="009D71CD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тановление полезащитных лесных насаждений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Полезащитное лесоразведение, посадка защитных лесных полос по границам полей севооборотов, по склонам балок и оврагов является одним из важнейших мероприятий, способствующих борьбе с засухой и обеспечению высоких и устойчивых урожаев. Положительное агрономическое значение лесных насаждений складывается из разностороннего влияния их на окружающие природные условия. Полезащитные насаждения задерживают снег и поверхностный сток, уменьшают испарение почвенной влаги, способствуют благоприятному ходу почвообразовательных процессов, улучшают водный и питательный режим почвы, в пересечённой местности защищают почву от смыва и размыва, а в открытой, подверженной ветрам, - от выдувания. Вместе с другими лесными насаждениями полезащитные лесонасаждения улучшают местный климат.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Вопросы создания и ухода за защитными лесными насаждениями на землях сельскохозяйственного назначения регламентируются ст. 7 Федерального закона № 4-ФЗ «О мелиорации земель», в соответствии с которым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агролесомелиорация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земель состоит в проведении комплекса мелиоративных мероприятий, обеспечивающих коренное улучшение земель посредством использования почвозащитных, водорегулирующих и иных свойств </w:t>
      </w: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защитных лесных насаждений. Нарушение законодательства Российской Федерации в области мелиорации земель влечет за собой административную или иную ответственность в соответствии с законодательством Российской Федерации, граждане (физические лица) и юридические лица обязаны возместить убытки, причиненные ими нарушением законодательства Российской Федерации в области мелиорации земель, в порядке, установленном законодательством Российской Федерации. Правовое регулирование деятельности в сфере сохранения и воспроизводства защитных лесных насаждений осуществляется и в соответствии с Земельным кодексом Российской Федерации и Федеральным законом «О государственном регулировании обеспечения плодородия земель сельскохозяйственного назначения».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Защитные лесные насаждения воздействуют на приземный слой атмосферы, почвы и грунты. Ослабляют интенсивность проявления засухи и низких температур воздуха, эрозии и дефляции почв, на орошаемых полях предотвращают испарение оросительной воды.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Агролесомелиоративные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насаждения выполняют важную социальную роль, облагораживая местность, преобразуя открытые степные ландшафты в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лесоаграрные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улучшая условия труда и отдыха сельского населения. Устойчивое сельское хозяйство обеспечивается (наряду с другими причинами) многофункциональностью защитных лесных насаждений: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возможность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экологизации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технологии растениеводства и животноводства;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-создание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биомикроклимата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(ограничение прямой солнечной радиации, регулировании скорости ветра и влажности воздуха с изменением турбулентного теплообмена между воздухом, почвой и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агроценозом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);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повышение водоносности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агроландшафтов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перераспределении и регулировании местного стока;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сохранение плодородия почвы;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повышение продуктивности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агро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и зооценозов при высоком качестве продукции; - рекультивация нарушенных почв и загрязненных земель;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обеспечение рекреационного спроса и улучшение условий жизни и труда сельского населения и т. д.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Большое значение в современных условиях имеет природоохранная роль защитных лесонасаждений в силу присущего им высокого биологического потенциала и стабильности воздействия на занимаемую площадь и прилегающую территорию.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Мелиоративные защитные лесные насаждения - лесные насаждения естественного происхождения или искусственно созданные на землях сельскохозяйственного назначения или на землях, предназначенных для осуществления производства сельскохозяйственной продукции, в целях предотвращения деградации почв на пастбищах, эрозии почв и защиты от воздействия неблагоприятных явлений природного, антропогенного и техногенного </w:t>
      </w: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происхождения посредством использования климаторегулирующих, почвозащитных, противоэрозионных, водорегулирующих и иных полезных функций лесных насаждений в целях сохранения и повышения плодородия земель.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Правообладатели земельных участков, на которых расположены мелиоративные защитные лесные насаждения, обязаны содержать мелиоративные защитные лесные насаждения в надлежащем состоянии, обеспечивающем выполнение ими полезных функций мелиоративных защитных лесных насаждений, и проводить мероприятия по сохранению мелиоративных защитных лесных насаждений, в том числе по охране, защите, воспроизводству мелиоративных защитных лесных насаждений.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Мероприятия по сохранению мелиоративных защитных лесных насаждений организуются правообладателями земельных участков, на которых расположены мелиоративные защитные лесные.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Администрация Цимлянского района доводит до сведения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сельхозтоваропроизводителей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Цимлянского района, что утверждены Правила содержания мелиоративных защитных лесных насаждений и особенностей проведения мероприятий по их сохранению.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холодное время года, часто встречающимся нарушением земельного законодательства является повреждение мелиоративной системы, а равно защитного лесного насаждения (лесополосы), ответственность за которое предусмотрена частью 2 статьи 10.10 КРФ об АП. А именно: повреждение мелиоративной системы, а равно защитного лесного насаждения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Также информируем о том, что вступил в силу </w:t>
      </w:r>
      <w:hyperlink r:id="rId5" w:history="1">
        <w:r w:rsidRPr="009D71CD">
          <w:rPr>
            <w:rFonts w:ascii="Arial" w:eastAsia="Times New Roman" w:hAnsi="Arial" w:cs="Arial"/>
            <w:color w:val="18385A"/>
            <w:sz w:val="21"/>
            <w:u w:val="single"/>
            <w:lang w:eastAsia="ru-RU"/>
          </w:rPr>
          <w:t>приказ Министерства сельского хозяйства РФ от 30.06.2020 г. № 367 «Об утверждении Правил содержания мелиоративных защитных лесных насаждений и особенностей проведения мероприятий по их сохранению»</w:t>
        </w:r>
      </w:hyperlink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Данный приказ отнесен к числу обязательных требований для всех правообладателей земельных участков.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содержания мелиоративных защитных лесных насаждений и особенности проведения мероприятий по их сохранению предусматривают важные моменты.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Обязанность по содержанию насаждений в надлежащем состоянии, обеспечивающем выполнение ими своих полезных функций, и по проведению мероприятий по сохранению насаждений, в том числе по охране, защите и воспроизводству насаждений, возложена на правообладателей земельных участков, на которых расположены насаждения.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содержания насаждений в надлежащем состоянии проводятся следующие мероприятия: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обследование насаждений;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б) воспроизводство насаждений;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уход за насаждениями.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мероприятий по сохранению насаждений осуществляется в целях повышения продуктивности насаждений и сохранения их полезных функций. Основными мероприятиями по сохранению насаждений являются их охрана от пожаров, загрязнений (в том числе радиоактивного и нефтяного) и иного негативного воздействия, а также их защита от вредных организмов.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Законом на собственников земельных участков возложена обязанность представлять сведения о наличии и состоянии мелиоративных защитных лесных насаждений и проводить мероприятия по их сохранению. Так, правообладатели земельных участков, на которых расположены мелиоративные защитные лесные насаждения, обязаны содержать мелиоративные защитные лесные насаждения в надлежащем состоянии, обеспечивающем выполнение ими полезных функций мелиоративных защитных лесных насаждений, и проводить мероприятия по сохранению мелиоративных защитных лесных насаждений, в том числе по охране, защите, воспроизводству мелиоративных защитных лесных насаждений.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Частью 2 статьи 8.7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КоАП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РФ предусмотрена административная ответственность за невыполнение обязанности по проведению мероприятий по сохранению мелиоративных защитных лесных насаждений предусматривает наложение административного штрафа на граждан в размере от 20 тыс. до 50 тыс. руб.; на должностных лиц - от 50 тыс. до 100 тыс. руб.; на юридических лиц - от 400 тыс. до 700 тыс. руб.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Важной задачей является дальнейшее создание и восстановление систем полезащитных лесных полос и насаждений в целях стабилизации земледелия, защиты посевов от засухи, суховеев и водной эрозии почвы; расширение работ по коренному и поверхностному улучшению балочных земель в комплексе с лесопосадками и т. п.</w:t>
      </w:r>
    </w:p>
    <w:p w:rsidR="009D71CD" w:rsidRPr="009D71CD" w:rsidRDefault="009D71CD" w:rsidP="009D71CD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Защитное лесоразведение является доступным, дешевым, мощным и долговременным фактором природоохранного и </w:t>
      </w:r>
      <w:proofErr w:type="spellStart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средообразующего</w:t>
      </w:r>
      <w:proofErr w:type="spellEnd"/>
      <w:r w:rsidRPr="009D71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значения</w:t>
      </w:r>
    </w:p>
    <w:p w:rsidR="00DE03EA" w:rsidRDefault="00DE03EA"/>
    <w:sectPr w:rsidR="00DE03EA" w:rsidSect="00DE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679"/>
    <w:multiLevelType w:val="hybridMultilevel"/>
    <w:tmpl w:val="7426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71CD"/>
    <w:rsid w:val="00185A70"/>
    <w:rsid w:val="001B1AA9"/>
    <w:rsid w:val="009D71CD"/>
    <w:rsid w:val="00A20048"/>
    <w:rsid w:val="00DE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A"/>
  </w:style>
  <w:style w:type="paragraph" w:styleId="2">
    <w:name w:val="heading 2"/>
    <w:basedOn w:val="a"/>
    <w:link w:val="20"/>
    <w:uiPriority w:val="9"/>
    <w:qFormat/>
    <w:rsid w:val="009D7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1CD"/>
    <w:rPr>
      <w:color w:val="0000FF"/>
      <w:u w:val="single"/>
    </w:rPr>
  </w:style>
  <w:style w:type="paragraph" w:customStyle="1" w:styleId="2612">
    <w:name w:val="Стиль Стиль Заголовок 2 + Перед:  6 пт после: 12 пт"/>
    <w:basedOn w:val="a"/>
    <w:autoRedefine/>
    <w:rsid w:val="00A20048"/>
    <w:pPr>
      <w:keepNext/>
      <w:keepLines/>
      <w:suppressAutoHyphens/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20"/>
      <w:lang w:eastAsia="ar-SA"/>
    </w:rPr>
  </w:style>
  <w:style w:type="paragraph" w:customStyle="1" w:styleId="00">
    <w:name w:val="00 основной текст"/>
    <w:basedOn w:val="a"/>
    <w:qFormat/>
    <w:rsid w:val="00A20048"/>
    <w:pPr>
      <w:spacing w:after="0"/>
      <w:ind w:firstLine="53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fontstyle01">
    <w:name w:val="fontstyle01"/>
    <w:basedOn w:val="a0"/>
    <w:rsid w:val="00A2004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9150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2443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2023-03-15T07:58:00Z</dcterms:created>
  <dcterms:modified xsi:type="dcterms:W3CDTF">2023-03-15T08:05:00Z</dcterms:modified>
</cp:coreProperties>
</file>